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523" w:rsidRPr="00F15D79" w:rsidRDefault="00002523" w:rsidP="00002523">
      <w:pPr>
        <w:pStyle w:val="2"/>
        <w:tabs>
          <w:tab w:val="clear" w:pos="567"/>
          <w:tab w:val="left" w:pos="0"/>
        </w:tabs>
        <w:ind w:left="0" w:firstLine="0"/>
        <w:rPr>
          <w:lang w:val="el-GR"/>
        </w:rPr>
      </w:pPr>
      <w:bookmarkStart w:id="0" w:name="_Toc79497820"/>
      <w:r w:rsidRPr="00F15D79">
        <w:rPr>
          <w:rFonts w:ascii="Calibri" w:hAnsi="Calibri" w:cs="Calibri"/>
          <w:lang w:val="el-GR"/>
        </w:rPr>
        <w:t xml:space="preserve">ΠΑΡΑΡΤΗΜΑ ΙV – </w:t>
      </w:r>
      <w:r w:rsidRPr="00F15D79">
        <w:rPr>
          <w:rFonts w:ascii="Calibri" w:hAnsi="Calibri" w:cs="Calibri"/>
          <w:color w:val="auto"/>
          <w:lang w:val="el-GR"/>
        </w:rPr>
        <w:t>Υπόδειγμα Οικονομικής προσφοράς</w:t>
      </w:r>
      <w:bookmarkEnd w:id="0"/>
    </w:p>
    <w:p w:rsidR="00002523" w:rsidRPr="00F15D79" w:rsidRDefault="00002523" w:rsidP="00002523">
      <w:pPr>
        <w:pStyle w:val="normalwithoutspacing"/>
      </w:pPr>
    </w:p>
    <w:p w:rsidR="00002523" w:rsidRPr="00F15D79" w:rsidRDefault="00002523" w:rsidP="00002523">
      <w:pPr>
        <w:spacing w:after="0"/>
        <w:rPr>
          <w:lang w:val="el-GR"/>
        </w:rPr>
      </w:pPr>
      <w:r w:rsidRPr="00F15D79">
        <w:rPr>
          <w:b/>
          <w:lang w:val="el-GR"/>
        </w:rPr>
        <w:t xml:space="preserve">ΠΡΟΣ: </w:t>
      </w:r>
    </w:p>
    <w:p w:rsidR="00002523" w:rsidRPr="00F15D79" w:rsidRDefault="00002523" w:rsidP="00002523">
      <w:pPr>
        <w:spacing w:after="0"/>
        <w:rPr>
          <w:b/>
          <w:lang w:val="el-GR"/>
        </w:rPr>
      </w:pPr>
      <w:r w:rsidRPr="00F15D79">
        <w:rPr>
          <w:b/>
          <w:lang w:val="el-GR"/>
        </w:rPr>
        <w:t>ΠΕΡΙΦΕΡΕΙΑΚΟ ΤΑΜΕΙΟ ΑΝΑΠΤΥΞΗΣ</w:t>
      </w:r>
    </w:p>
    <w:p w:rsidR="00002523" w:rsidRPr="00F15D79" w:rsidRDefault="00002523" w:rsidP="00002523">
      <w:pPr>
        <w:spacing w:after="0"/>
        <w:rPr>
          <w:b/>
          <w:lang w:val="el-GR"/>
        </w:rPr>
      </w:pPr>
      <w:r w:rsidRPr="00F15D79">
        <w:rPr>
          <w:b/>
          <w:lang w:val="el-GR"/>
        </w:rPr>
        <w:t>ΚΕΝΤΡΙΚΗΣ ΜΑΚΕΔΟΝΙΑΣ</w:t>
      </w:r>
      <w:r w:rsidRPr="00F15D79">
        <w:rPr>
          <w:b/>
          <w:lang w:val="el-GR"/>
        </w:rPr>
        <w:tab/>
      </w:r>
    </w:p>
    <w:p w:rsidR="00002523" w:rsidRPr="00F15D79" w:rsidRDefault="00002523" w:rsidP="00002523">
      <w:pPr>
        <w:spacing w:after="0"/>
        <w:rPr>
          <w:lang w:val="el-GR"/>
        </w:rPr>
      </w:pPr>
      <w:proofErr w:type="spellStart"/>
      <w:r w:rsidRPr="00F15D79">
        <w:rPr>
          <w:b/>
          <w:lang w:val="el-GR"/>
        </w:rPr>
        <w:t>Βασ</w:t>
      </w:r>
      <w:proofErr w:type="spellEnd"/>
      <w:r w:rsidRPr="00F15D79">
        <w:rPr>
          <w:b/>
          <w:lang w:val="el-GR"/>
        </w:rPr>
        <w:t>. Όλγας 198</w:t>
      </w:r>
    </w:p>
    <w:p w:rsidR="00002523" w:rsidRPr="00F15D79" w:rsidRDefault="00002523" w:rsidP="00002523">
      <w:pPr>
        <w:spacing w:after="0"/>
        <w:rPr>
          <w:lang w:val="el-GR"/>
        </w:rPr>
      </w:pPr>
      <w:r w:rsidRPr="00F15D79">
        <w:rPr>
          <w:b/>
          <w:lang w:val="el-GR"/>
        </w:rPr>
        <w:t>Θεσσαλονίκη</w:t>
      </w:r>
    </w:p>
    <w:p w:rsidR="00002523" w:rsidRPr="00F15D79" w:rsidRDefault="00002523" w:rsidP="00002523">
      <w:pPr>
        <w:spacing w:after="0"/>
        <w:rPr>
          <w:b/>
          <w:lang w:val="el-GR"/>
        </w:rPr>
      </w:pPr>
    </w:p>
    <w:p w:rsidR="00002523" w:rsidRPr="00F15D79" w:rsidRDefault="00002523" w:rsidP="00002523">
      <w:pPr>
        <w:spacing w:after="0"/>
        <w:ind w:left="567" w:right="360"/>
        <w:jc w:val="center"/>
        <w:rPr>
          <w:rFonts w:eastAsia="Trebuchet MS"/>
          <w:b/>
          <w:spacing w:val="1"/>
          <w:sz w:val="21"/>
          <w:szCs w:val="21"/>
          <w:lang w:val="el-GR"/>
        </w:rPr>
      </w:pPr>
    </w:p>
    <w:p w:rsidR="00002523" w:rsidRPr="00F15D79" w:rsidRDefault="00002523" w:rsidP="00002523">
      <w:pPr>
        <w:spacing w:after="0"/>
        <w:ind w:left="567" w:right="360"/>
        <w:jc w:val="center"/>
        <w:rPr>
          <w:rFonts w:eastAsia="Trebuchet MS"/>
          <w:b/>
          <w:w w:val="99"/>
          <w:szCs w:val="22"/>
          <w:lang w:val="el-GR"/>
        </w:rPr>
      </w:pPr>
      <w:r w:rsidRPr="00F15D79">
        <w:rPr>
          <w:rFonts w:eastAsia="Trebuchet MS"/>
          <w:b/>
          <w:spacing w:val="1"/>
          <w:szCs w:val="22"/>
          <w:lang w:val="el-GR"/>
        </w:rPr>
        <w:t>Π</w:t>
      </w:r>
      <w:r w:rsidRPr="00F15D79">
        <w:rPr>
          <w:rFonts w:eastAsia="Trebuchet MS"/>
          <w:b/>
          <w:szCs w:val="22"/>
          <w:lang w:val="el-GR"/>
        </w:rPr>
        <w:t>ί</w:t>
      </w:r>
      <w:r w:rsidRPr="00F15D79">
        <w:rPr>
          <w:rFonts w:eastAsia="Trebuchet MS"/>
          <w:b/>
          <w:spacing w:val="-1"/>
          <w:szCs w:val="22"/>
          <w:lang w:val="el-GR"/>
        </w:rPr>
        <w:t>να</w:t>
      </w:r>
      <w:r w:rsidRPr="00F15D79">
        <w:rPr>
          <w:rFonts w:eastAsia="Trebuchet MS"/>
          <w:b/>
          <w:spacing w:val="2"/>
          <w:szCs w:val="22"/>
          <w:lang w:val="el-GR"/>
        </w:rPr>
        <w:t>κ</w:t>
      </w:r>
      <w:r w:rsidRPr="00F15D79">
        <w:rPr>
          <w:rFonts w:eastAsia="Trebuchet MS"/>
          <w:b/>
          <w:spacing w:val="-1"/>
          <w:szCs w:val="22"/>
          <w:lang w:val="el-GR"/>
        </w:rPr>
        <w:t>α</w:t>
      </w:r>
      <w:r w:rsidRPr="00F15D79">
        <w:rPr>
          <w:rFonts w:eastAsia="Trebuchet MS"/>
          <w:b/>
          <w:szCs w:val="22"/>
          <w:lang w:val="el-GR"/>
        </w:rPr>
        <w:t>ς Οικ</w:t>
      </w:r>
      <w:r w:rsidRPr="00F15D79">
        <w:rPr>
          <w:rFonts w:eastAsia="Trebuchet MS"/>
          <w:b/>
          <w:spacing w:val="2"/>
          <w:szCs w:val="22"/>
          <w:lang w:val="el-GR"/>
        </w:rPr>
        <w:t>ο</w:t>
      </w:r>
      <w:r w:rsidRPr="00F15D79">
        <w:rPr>
          <w:rFonts w:eastAsia="Trebuchet MS"/>
          <w:b/>
          <w:spacing w:val="-1"/>
          <w:szCs w:val="22"/>
          <w:lang w:val="el-GR"/>
        </w:rPr>
        <w:t>ν</w:t>
      </w:r>
      <w:r w:rsidRPr="00F15D79">
        <w:rPr>
          <w:rFonts w:eastAsia="Trebuchet MS"/>
          <w:b/>
          <w:spacing w:val="2"/>
          <w:szCs w:val="22"/>
          <w:lang w:val="el-GR"/>
        </w:rPr>
        <w:t>ο</w:t>
      </w:r>
      <w:r w:rsidRPr="00F15D79">
        <w:rPr>
          <w:rFonts w:eastAsia="Trebuchet MS"/>
          <w:b/>
          <w:spacing w:val="-1"/>
          <w:szCs w:val="22"/>
          <w:lang w:val="el-GR"/>
        </w:rPr>
        <w:t>μ</w:t>
      </w:r>
      <w:r w:rsidRPr="00F15D79">
        <w:rPr>
          <w:rFonts w:eastAsia="Trebuchet MS"/>
          <w:b/>
          <w:spacing w:val="2"/>
          <w:szCs w:val="22"/>
          <w:lang w:val="el-GR"/>
        </w:rPr>
        <w:t>ι</w:t>
      </w:r>
      <w:r w:rsidRPr="00F15D79">
        <w:rPr>
          <w:rFonts w:eastAsia="Trebuchet MS"/>
          <w:b/>
          <w:szCs w:val="22"/>
          <w:lang w:val="el-GR"/>
        </w:rPr>
        <w:t>κ</w:t>
      </w:r>
      <w:r w:rsidRPr="00F15D79">
        <w:rPr>
          <w:rFonts w:eastAsia="Trebuchet MS"/>
          <w:b/>
          <w:spacing w:val="1"/>
          <w:szCs w:val="22"/>
          <w:lang w:val="el-GR"/>
        </w:rPr>
        <w:t>ή</w:t>
      </w:r>
      <w:r w:rsidRPr="00F15D79">
        <w:rPr>
          <w:rFonts w:eastAsia="Trebuchet MS"/>
          <w:b/>
          <w:szCs w:val="22"/>
          <w:lang w:val="el-GR"/>
        </w:rPr>
        <w:t xml:space="preserve">ς </w:t>
      </w:r>
      <w:r w:rsidRPr="00F15D79">
        <w:rPr>
          <w:rFonts w:eastAsia="Trebuchet MS"/>
          <w:b/>
          <w:spacing w:val="1"/>
          <w:szCs w:val="22"/>
          <w:lang w:val="el-GR"/>
        </w:rPr>
        <w:t>Π</w:t>
      </w:r>
      <w:r w:rsidRPr="00F15D79">
        <w:rPr>
          <w:rFonts w:eastAsia="Trebuchet MS"/>
          <w:b/>
          <w:spacing w:val="2"/>
          <w:szCs w:val="22"/>
          <w:lang w:val="el-GR"/>
        </w:rPr>
        <w:t>ρ</w:t>
      </w:r>
      <w:r w:rsidRPr="00F15D79">
        <w:rPr>
          <w:rFonts w:eastAsia="Trebuchet MS"/>
          <w:b/>
          <w:szCs w:val="22"/>
          <w:lang w:val="el-GR"/>
        </w:rPr>
        <w:t>ο</w:t>
      </w:r>
      <w:r w:rsidRPr="00F15D79">
        <w:rPr>
          <w:rFonts w:eastAsia="Trebuchet MS"/>
          <w:b/>
          <w:spacing w:val="2"/>
          <w:szCs w:val="22"/>
          <w:lang w:val="el-GR"/>
        </w:rPr>
        <w:t>σ</w:t>
      </w:r>
      <w:r w:rsidRPr="00F15D79">
        <w:rPr>
          <w:rFonts w:eastAsia="Trebuchet MS"/>
          <w:b/>
          <w:spacing w:val="1"/>
          <w:szCs w:val="22"/>
          <w:lang w:val="el-GR"/>
        </w:rPr>
        <w:t>φ</w:t>
      </w:r>
      <w:r w:rsidRPr="00F15D79">
        <w:rPr>
          <w:rFonts w:eastAsia="Trebuchet MS"/>
          <w:b/>
          <w:szCs w:val="22"/>
          <w:lang w:val="el-GR"/>
        </w:rPr>
        <w:t>ο</w:t>
      </w:r>
      <w:r w:rsidRPr="00F15D79">
        <w:rPr>
          <w:rFonts w:eastAsia="Trebuchet MS"/>
          <w:b/>
          <w:spacing w:val="-1"/>
          <w:szCs w:val="22"/>
          <w:lang w:val="el-GR"/>
        </w:rPr>
        <w:t>ρ</w:t>
      </w:r>
      <w:r w:rsidRPr="00F15D79">
        <w:rPr>
          <w:rFonts w:eastAsia="Trebuchet MS"/>
          <w:b/>
          <w:spacing w:val="2"/>
          <w:szCs w:val="22"/>
          <w:lang w:val="el-GR"/>
        </w:rPr>
        <w:t>ά</w:t>
      </w:r>
      <w:r w:rsidRPr="00F15D79">
        <w:rPr>
          <w:rFonts w:eastAsia="Trebuchet MS"/>
          <w:b/>
          <w:szCs w:val="22"/>
          <w:lang w:val="el-GR"/>
        </w:rPr>
        <w:t>ς γ</w:t>
      </w:r>
      <w:r w:rsidRPr="00F15D79">
        <w:rPr>
          <w:rFonts w:eastAsia="Trebuchet MS"/>
          <w:b/>
          <w:spacing w:val="2"/>
          <w:szCs w:val="22"/>
          <w:lang w:val="el-GR"/>
        </w:rPr>
        <w:t>ι</w:t>
      </w:r>
      <w:r w:rsidRPr="00F15D79">
        <w:rPr>
          <w:rFonts w:eastAsia="Trebuchet MS"/>
          <w:b/>
          <w:szCs w:val="22"/>
          <w:lang w:val="el-GR"/>
        </w:rPr>
        <w:t xml:space="preserve">α </w:t>
      </w:r>
      <w:r w:rsidRPr="00F15D79">
        <w:rPr>
          <w:rFonts w:eastAsia="Trebuchet MS"/>
          <w:b/>
          <w:spacing w:val="1"/>
          <w:szCs w:val="22"/>
          <w:lang w:val="el-GR"/>
        </w:rPr>
        <w:t>τ</w:t>
      </w:r>
      <w:r w:rsidRPr="00F15D79">
        <w:rPr>
          <w:rFonts w:eastAsia="Trebuchet MS"/>
          <w:b/>
          <w:szCs w:val="22"/>
          <w:lang w:val="el-GR"/>
        </w:rPr>
        <w:t xml:space="preserve">ο </w:t>
      </w:r>
      <w:r w:rsidRPr="00F15D79">
        <w:rPr>
          <w:b/>
          <w:spacing w:val="8"/>
          <w:szCs w:val="22"/>
          <w:lang w:val="el-GR"/>
        </w:rPr>
        <w:t>έ</w:t>
      </w:r>
      <w:r w:rsidRPr="00F15D79">
        <w:rPr>
          <w:rFonts w:eastAsia="Trebuchet MS"/>
          <w:b/>
          <w:spacing w:val="-1"/>
          <w:w w:val="99"/>
          <w:szCs w:val="22"/>
          <w:lang w:val="el-GR"/>
        </w:rPr>
        <w:t>ρ</w:t>
      </w:r>
      <w:r w:rsidRPr="00F15D79">
        <w:rPr>
          <w:rFonts w:eastAsia="Trebuchet MS"/>
          <w:b/>
          <w:w w:val="99"/>
          <w:szCs w:val="22"/>
          <w:lang w:val="el-GR"/>
        </w:rPr>
        <w:t>γο:</w:t>
      </w:r>
    </w:p>
    <w:p w:rsidR="00002523" w:rsidRPr="00F15D79" w:rsidRDefault="00002523" w:rsidP="00002523">
      <w:pPr>
        <w:spacing w:after="0"/>
        <w:ind w:left="567" w:right="360"/>
        <w:jc w:val="center"/>
        <w:rPr>
          <w:lang w:val="el-GR"/>
        </w:rPr>
      </w:pPr>
      <w:r w:rsidRPr="00F15D79">
        <w:rPr>
          <w:lang w:val="el-GR"/>
        </w:rPr>
        <w:t>«Μίσθωση, διαμόρφωση και εξοπλισμό εκθετηρίου χώρου για τη συμμετοχή της Περιφέρειας Κεντρικής Μακεδονίας και του ΠΤΑ ΚΜ στη διεθνή έκθεση τροφίμων και ποτών ANUGA 2021  που θα πραγματοποιηθεί στις εγκαταστάσεις του εκθεσιακού κέντρου KOELNMESSE στην Κολωνία της Γερμανίας το διάστημα από 9 έως 13 Οκτωβρίου 2021»</w:t>
      </w:r>
    </w:p>
    <w:p w:rsidR="00002523" w:rsidRPr="00F15D79" w:rsidRDefault="00002523" w:rsidP="00002523">
      <w:pPr>
        <w:spacing w:after="0"/>
        <w:ind w:left="567" w:right="360"/>
        <w:jc w:val="center"/>
        <w:rPr>
          <w:rFonts w:eastAsia="Trebuchet MS"/>
          <w:b/>
          <w:w w:val="99"/>
          <w:szCs w:val="22"/>
          <w:lang w:val="el-GR"/>
        </w:rPr>
      </w:pPr>
    </w:p>
    <w:p w:rsidR="00002523" w:rsidRPr="003E6482" w:rsidRDefault="00002523" w:rsidP="00002523">
      <w:pPr>
        <w:rPr>
          <w:szCs w:val="22"/>
          <w:lang w:val="el-GR"/>
        </w:rPr>
      </w:pPr>
      <w:r w:rsidRPr="00F15D79">
        <w:rPr>
          <w:szCs w:val="22"/>
          <w:lang w:val="el-GR"/>
        </w:rPr>
        <w:t>Οικονομικός Φορέας: ……………………………..</w:t>
      </w:r>
    </w:p>
    <w:p w:rsidR="00002523" w:rsidRPr="003E6482" w:rsidRDefault="00002523" w:rsidP="00002523">
      <w:pPr>
        <w:rPr>
          <w:szCs w:val="22"/>
          <w:lang w:val="el-GR"/>
        </w:rPr>
      </w:pPr>
      <w:r w:rsidRPr="003E6482">
        <w:rPr>
          <w:szCs w:val="22"/>
          <w:lang w:val="el-GR"/>
        </w:rPr>
        <w:t xml:space="preserve">Έδρα: ……………………………………… </w:t>
      </w:r>
    </w:p>
    <w:p w:rsidR="00002523" w:rsidRPr="003E6482" w:rsidRDefault="00002523" w:rsidP="00002523">
      <w:pPr>
        <w:rPr>
          <w:szCs w:val="22"/>
          <w:lang w:val="el-GR"/>
        </w:rPr>
      </w:pPr>
      <w:r w:rsidRPr="003E6482">
        <w:rPr>
          <w:szCs w:val="22"/>
          <w:lang w:val="el-GR"/>
        </w:rPr>
        <w:t>Οδός, Αριθμός : ………………………..</w:t>
      </w:r>
    </w:p>
    <w:p w:rsidR="00002523" w:rsidRPr="003E6482" w:rsidRDefault="00002523" w:rsidP="00002523">
      <w:pPr>
        <w:rPr>
          <w:szCs w:val="22"/>
          <w:lang w:val="el-GR"/>
        </w:rPr>
      </w:pPr>
      <w:r w:rsidRPr="003E6482">
        <w:rPr>
          <w:szCs w:val="22"/>
          <w:lang w:val="el-GR"/>
        </w:rPr>
        <w:t xml:space="preserve">Τηλέφωνο:……………………. </w:t>
      </w:r>
    </w:p>
    <w:p w:rsidR="00002523" w:rsidRPr="003E6482" w:rsidRDefault="00002523" w:rsidP="00002523">
      <w:pPr>
        <w:rPr>
          <w:szCs w:val="22"/>
          <w:lang w:val="el-GR"/>
        </w:rPr>
      </w:pPr>
      <w:r w:rsidRPr="003E6482">
        <w:rPr>
          <w:szCs w:val="22"/>
          <w:lang w:val="en-US"/>
        </w:rPr>
        <w:t>Fax</w:t>
      </w:r>
      <w:r w:rsidRPr="003E6482">
        <w:rPr>
          <w:szCs w:val="22"/>
          <w:lang w:val="el-GR"/>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695"/>
      </w:tblGrid>
      <w:tr w:rsidR="00002523" w:rsidRPr="003E6482" w:rsidTr="00605BF0">
        <w:trPr>
          <w:jc w:val="center"/>
        </w:trPr>
        <w:tc>
          <w:tcPr>
            <w:tcW w:w="7933" w:type="dxa"/>
          </w:tcPr>
          <w:p w:rsidR="00002523" w:rsidRPr="003E6482" w:rsidRDefault="00002523" w:rsidP="00605BF0">
            <w:pPr>
              <w:autoSpaceDE w:val="0"/>
              <w:spacing w:after="0"/>
              <w:jc w:val="center"/>
              <w:rPr>
                <w:b/>
                <w:szCs w:val="22"/>
              </w:rPr>
            </w:pPr>
            <w:bookmarkStart w:id="1" w:name="_Hlk31892026"/>
            <w:r w:rsidRPr="003E6482">
              <w:rPr>
                <w:b/>
                <w:bCs/>
                <w:szCs w:val="22"/>
                <w:lang w:val="el-GR" w:eastAsia="en-US"/>
              </w:rPr>
              <w:t>Υπηρεσία</w:t>
            </w:r>
          </w:p>
        </w:tc>
        <w:tc>
          <w:tcPr>
            <w:tcW w:w="1695" w:type="dxa"/>
            <w:shd w:val="clear" w:color="auto" w:fill="auto"/>
          </w:tcPr>
          <w:p w:rsidR="00002523" w:rsidRPr="003E6482" w:rsidRDefault="00002523" w:rsidP="00605BF0">
            <w:pPr>
              <w:autoSpaceDE w:val="0"/>
              <w:spacing w:after="0"/>
              <w:ind w:left="-57" w:right="-57"/>
              <w:jc w:val="center"/>
              <w:rPr>
                <w:b/>
                <w:szCs w:val="22"/>
              </w:rPr>
            </w:pPr>
            <w:proofErr w:type="spellStart"/>
            <w:r w:rsidRPr="003E6482">
              <w:rPr>
                <w:b/>
                <w:szCs w:val="22"/>
              </w:rPr>
              <w:t>Ποσό</w:t>
            </w:r>
            <w:proofErr w:type="spellEnd"/>
            <w:r w:rsidRPr="003E6482">
              <w:rPr>
                <w:b/>
                <w:szCs w:val="22"/>
                <w:lang w:val="el-GR"/>
              </w:rPr>
              <w:t xml:space="preserve"> </w:t>
            </w:r>
            <w:r w:rsidRPr="003E6482">
              <w:rPr>
                <w:b/>
                <w:szCs w:val="22"/>
              </w:rPr>
              <w:t>(€)</w:t>
            </w:r>
          </w:p>
        </w:tc>
      </w:tr>
      <w:tr w:rsidR="00002523" w:rsidRPr="00B5741A" w:rsidTr="00605BF0">
        <w:trPr>
          <w:jc w:val="center"/>
        </w:trPr>
        <w:tc>
          <w:tcPr>
            <w:tcW w:w="7933" w:type="dxa"/>
          </w:tcPr>
          <w:p w:rsidR="00002523" w:rsidRPr="003E6482" w:rsidRDefault="00002523" w:rsidP="00605BF0">
            <w:pPr>
              <w:suppressAutoHyphens w:val="0"/>
              <w:spacing w:after="0" w:line="360" w:lineRule="auto"/>
              <w:jc w:val="center"/>
              <w:rPr>
                <w:b/>
                <w:kern w:val="1"/>
                <w:sz w:val="20"/>
                <w:szCs w:val="20"/>
                <w:lang w:val="el-GR" w:eastAsia="el-GR"/>
              </w:rPr>
            </w:pPr>
            <w:r w:rsidRPr="003E6482">
              <w:rPr>
                <w:b/>
                <w:lang w:val="el-GR"/>
              </w:rPr>
              <w:t>«Μίσθωση, διαμόρφωση και εξοπλισμό εκθετηρίου χώρου για τη συμμετοχή της Περιφέρειας Κεντρικής Μακεδονίας και του ΠΤΑ ΚΜ στη διεθνή έκθεση τροφίμων και ποτών ANUGA 2021  που θα πραγματοποιηθεί στις εγκαταστάσεις του εκθεσιακού κέντρου KOELNMESSE στην Κολωνία της Γερμανίας το διάστημα από 9 έως 13 Οκτωβρίου 2021».</w:t>
            </w:r>
          </w:p>
        </w:tc>
        <w:tc>
          <w:tcPr>
            <w:tcW w:w="1695" w:type="dxa"/>
            <w:shd w:val="clear" w:color="auto" w:fill="auto"/>
            <w:vAlign w:val="center"/>
          </w:tcPr>
          <w:p w:rsidR="00002523" w:rsidRPr="003E6482" w:rsidRDefault="00002523" w:rsidP="00605BF0">
            <w:pPr>
              <w:spacing w:after="0"/>
              <w:jc w:val="center"/>
              <w:rPr>
                <w:szCs w:val="22"/>
                <w:lang w:val="el-GR"/>
              </w:rPr>
            </w:pPr>
          </w:p>
        </w:tc>
      </w:tr>
      <w:tr w:rsidR="00002523" w:rsidRPr="003E6482" w:rsidTr="00605BF0">
        <w:trPr>
          <w:trHeight w:val="77"/>
          <w:jc w:val="center"/>
        </w:trPr>
        <w:tc>
          <w:tcPr>
            <w:tcW w:w="7933" w:type="dxa"/>
          </w:tcPr>
          <w:p w:rsidR="00002523" w:rsidRPr="003E6482" w:rsidRDefault="00002523" w:rsidP="00605BF0">
            <w:pPr>
              <w:autoSpaceDE w:val="0"/>
              <w:spacing w:after="0"/>
              <w:jc w:val="right"/>
              <w:rPr>
                <w:b/>
                <w:szCs w:val="22"/>
              </w:rPr>
            </w:pPr>
            <w:proofErr w:type="spellStart"/>
            <w:r w:rsidRPr="003E6482">
              <w:rPr>
                <w:b/>
                <w:szCs w:val="22"/>
              </w:rPr>
              <w:t>Συνολικό</w:t>
            </w:r>
            <w:proofErr w:type="spellEnd"/>
            <w:r w:rsidRPr="003E6482">
              <w:rPr>
                <w:b/>
                <w:szCs w:val="22"/>
              </w:rPr>
              <w:t xml:space="preserve"> π</w:t>
            </w:r>
            <w:proofErr w:type="spellStart"/>
            <w:r w:rsidRPr="003E6482">
              <w:rPr>
                <w:b/>
                <w:szCs w:val="22"/>
              </w:rPr>
              <w:t>οσό</w:t>
            </w:r>
            <w:proofErr w:type="spellEnd"/>
          </w:p>
        </w:tc>
        <w:tc>
          <w:tcPr>
            <w:tcW w:w="1695" w:type="dxa"/>
            <w:shd w:val="clear" w:color="auto" w:fill="auto"/>
            <w:vAlign w:val="center"/>
          </w:tcPr>
          <w:p w:rsidR="00002523" w:rsidRPr="003E6482" w:rsidRDefault="00002523" w:rsidP="00605BF0">
            <w:pPr>
              <w:spacing w:after="0"/>
              <w:jc w:val="center"/>
              <w:rPr>
                <w:b/>
                <w:szCs w:val="22"/>
              </w:rPr>
            </w:pPr>
          </w:p>
        </w:tc>
      </w:tr>
      <w:tr w:rsidR="00002523" w:rsidRPr="003E6482" w:rsidTr="00605BF0">
        <w:trPr>
          <w:trHeight w:val="77"/>
          <w:jc w:val="center"/>
        </w:trPr>
        <w:tc>
          <w:tcPr>
            <w:tcW w:w="7933" w:type="dxa"/>
          </w:tcPr>
          <w:p w:rsidR="00002523" w:rsidRPr="003E6482" w:rsidRDefault="00002523" w:rsidP="00605BF0">
            <w:pPr>
              <w:autoSpaceDE w:val="0"/>
              <w:spacing w:after="0"/>
              <w:jc w:val="right"/>
              <w:rPr>
                <w:b/>
                <w:szCs w:val="22"/>
              </w:rPr>
            </w:pPr>
            <w:r w:rsidRPr="003E6482">
              <w:rPr>
                <w:b/>
                <w:szCs w:val="22"/>
              </w:rPr>
              <w:t>ΦΠΑ (24%)</w:t>
            </w:r>
          </w:p>
        </w:tc>
        <w:tc>
          <w:tcPr>
            <w:tcW w:w="1695" w:type="dxa"/>
            <w:shd w:val="clear" w:color="auto" w:fill="auto"/>
            <w:vAlign w:val="center"/>
          </w:tcPr>
          <w:p w:rsidR="00002523" w:rsidRPr="003E6482" w:rsidRDefault="00002523" w:rsidP="00605BF0">
            <w:pPr>
              <w:spacing w:after="0"/>
              <w:jc w:val="center"/>
              <w:rPr>
                <w:b/>
                <w:szCs w:val="22"/>
              </w:rPr>
            </w:pPr>
          </w:p>
        </w:tc>
      </w:tr>
      <w:tr w:rsidR="00002523" w:rsidRPr="003E6482" w:rsidTr="00605BF0">
        <w:trPr>
          <w:jc w:val="center"/>
        </w:trPr>
        <w:tc>
          <w:tcPr>
            <w:tcW w:w="7933" w:type="dxa"/>
          </w:tcPr>
          <w:p w:rsidR="00002523" w:rsidRPr="003E6482" w:rsidRDefault="00002523" w:rsidP="00605BF0">
            <w:pPr>
              <w:autoSpaceDE w:val="0"/>
              <w:spacing w:after="0"/>
              <w:jc w:val="right"/>
              <w:rPr>
                <w:b/>
                <w:szCs w:val="22"/>
              </w:rPr>
            </w:pPr>
            <w:proofErr w:type="spellStart"/>
            <w:r w:rsidRPr="003E6482">
              <w:rPr>
                <w:b/>
                <w:szCs w:val="22"/>
              </w:rPr>
              <w:t>Συνολικό</w:t>
            </w:r>
            <w:proofErr w:type="spellEnd"/>
            <w:r w:rsidRPr="003E6482">
              <w:rPr>
                <w:b/>
                <w:szCs w:val="22"/>
              </w:rPr>
              <w:t xml:space="preserve"> π</w:t>
            </w:r>
            <w:proofErr w:type="spellStart"/>
            <w:r w:rsidRPr="003E6482">
              <w:rPr>
                <w:b/>
                <w:szCs w:val="22"/>
              </w:rPr>
              <w:t>οσό</w:t>
            </w:r>
            <w:proofErr w:type="spellEnd"/>
            <w:r w:rsidRPr="003E6482">
              <w:rPr>
                <w:b/>
                <w:szCs w:val="22"/>
              </w:rPr>
              <w:t xml:space="preserve"> </w:t>
            </w:r>
            <w:proofErr w:type="spellStart"/>
            <w:r w:rsidRPr="003E6482">
              <w:rPr>
                <w:b/>
                <w:szCs w:val="22"/>
              </w:rPr>
              <w:t>με</w:t>
            </w:r>
            <w:proofErr w:type="spellEnd"/>
            <w:r w:rsidRPr="003E6482">
              <w:rPr>
                <w:b/>
                <w:szCs w:val="22"/>
              </w:rPr>
              <w:t xml:space="preserve"> ΦΠΑ 24%</w:t>
            </w:r>
          </w:p>
        </w:tc>
        <w:tc>
          <w:tcPr>
            <w:tcW w:w="1695" w:type="dxa"/>
            <w:shd w:val="clear" w:color="auto" w:fill="auto"/>
            <w:vAlign w:val="center"/>
          </w:tcPr>
          <w:p w:rsidR="00002523" w:rsidRPr="003E6482" w:rsidRDefault="00002523" w:rsidP="00605BF0">
            <w:pPr>
              <w:spacing w:after="0"/>
              <w:jc w:val="center"/>
              <w:rPr>
                <w:b/>
                <w:szCs w:val="22"/>
              </w:rPr>
            </w:pPr>
          </w:p>
        </w:tc>
      </w:tr>
      <w:bookmarkEnd w:id="1"/>
    </w:tbl>
    <w:p w:rsidR="00002523" w:rsidRPr="003E6482" w:rsidRDefault="00002523" w:rsidP="00002523">
      <w:pPr>
        <w:rPr>
          <w:szCs w:val="22"/>
          <w:highlight w:val="yellow"/>
          <w:lang w:val="el-GR"/>
        </w:rPr>
      </w:pPr>
    </w:p>
    <w:p w:rsidR="00002523" w:rsidRPr="003E6482" w:rsidRDefault="00002523" w:rsidP="00002523">
      <w:pPr>
        <w:rPr>
          <w:szCs w:val="22"/>
          <w:lang w:val="el-GR"/>
        </w:rPr>
      </w:pPr>
      <w:r w:rsidRPr="003E6482">
        <w:rPr>
          <w:szCs w:val="22"/>
          <w:lang w:val="el-GR"/>
        </w:rPr>
        <w:t xml:space="preserve">ΟΛΟΓΡΑΦΩΣ ΧΩΡΙΣ ΦΠΑ: </w:t>
      </w:r>
      <w:r w:rsidRPr="003E6482">
        <w:rPr>
          <w:b/>
          <w:szCs w:val="22"/>
          <w:lang w:val="el-GR"/>
        </w:rPr>
        <w:t>……………………………..……………………………..……………………………..…………………………….</w:t>
      </w:r>
    </w:p>
    <w:p w:rsidR="00002523" w:rsidRPr="003E6482" w:rsidRDefault="00002523" w:rsidP="00002523">
      <w:pPr>
        <w:rPr>
          <w:szCs w:val="22"/>
          <w:lang w:val="el-GR"/>
        </w:rPr>
      </w:pPr>
      <w:r w:rsidRPr="003E6482">
        <w:rPr>
          <w:b/>
          <w:szCs w:val="22"/>
          <w:lang w:val="el-GR"/>
        </w:rPr>
        <w:t>……………………………..……………………………..……………………………..……………………………………………………………………</w:t>
      </w:r>
    </w:p>
    <w:p w:rsidR="00002523" w:rsidRPr="003E6482" w:rsidRDefault="00002523" w:rsidP="00002523">
      <w:pPr>
        <w:rPr>
          <w:szCs w:val="22"/>
          <w:lang w:val="el-GR"/>
        </w:rPr>
      </w:pPr>
      <w:r w:rsidRPr="003E6482">
        <w:rPr>
          <w:szCs w:val="22"/>
          <w:lang w:val="el-GR"/>
        </w:rPr>
        <w:t xml:space="preserve">ΟΛΟΓΡΑΦΩΣ ΜΕ ΦΠΑ: </w:t>
      </w:r>
      <w:r w:rsidRPr="003E6482">
        <w:rPr>
          <w:b/>
          <w:szCs w:val="22"/>
          <w:lang w:val="el-GR"/>
        </w:rPr>
        <w:t>……………………………..……………………………..……………………………..……………………………..</w:t>
      </w:r>
    </w:p>
    <w:p w:rsidR="00002523" w:rsidRPr="003E6482" w:rsidRDefault="00002523" w:rsidP="00002523">
      <w:pPr>
        <w:rPr>
          <w:szCs w:val="22"/>
          <w:lang w:val="el-GR"/>
        </w:rPr>
      </w:pPr>
      <w:r w:rsidRPr="003E6482">
        <w:rPr>
          <w:b/>
          <w:szCs w:val="22"/>
          <w:lang w:val="el-GR"/>
        </w:rPr>
        <w:t>……………………………..……………………………..……………………………..……………………………………………………………………</w:t>
      </w:r>
    </w:p>
    <w:p w:rsidR="00002523" w:rsidRPr="003E6482" w:rsidRDefault="00002523" w:rsidP="00002523">
      <w:pPr>
        <w:rPr>
          <w:highlight w:val="yellow"/>
          <w:lang w:val="el-GR"/>
        </w:rPr>
      </w:pPr>
    </w:p>
    <w:p w:rsidR="00002523" w:rsidRPr="003E6482" w:rsidRDefault="00002523" w:rsidP="00002523">
      <w:pPr>
        <w:widowControl w:val="0"/>
        <w:suppressAutoHyphens w:val="0"/>
        <w:spacing w:before="120"/>
        <w:jc w:val="center"/>
        <w:rPr>
          <w:lang w:val="el-GR"/>
        </w:rPr>
      </w:pPr>
      <w:r w:rsidRPr="003E6482">
        <w:rPr>
          <w:lang w:val="el-GR"/>
        </w:rPr>
        <w:t>ΤΟΠΟΣ, ΗΜΕΡΟΜΗΝΙΑ</w:t>
      </w:r>
    </w:p>
    <w:p w:rsidR="00002523" w:rsidRPr="003E6482" w:rsidRDefault="00002523" w:rsidP="00002523">
      <w:pPr>
        <w:widowControl w:val="0"/>
        <w:suppressAutoHyphens w:val="0"/>
        <w:spacing w:before="120"/>
        <w:jc w:val="center"/>
        <w:rPr>
          <w:lang w:val="el-GR"/>
        </w:rPr>
      </w:pPr>
      <w:r w:rsidRPr="003E6482">
        <w:rPr>
          <w:lang w:val="el-GR"/>
        </w:rPr>
        <w:t>Ο Προσφέρων</w:t>
      </w:r>
    </w:p>
    <w:p w:rsidR="00002523" w:rsidRDefault="00002523" w:rsidP="00002523">
      <w:pPr>
        <w:autoSpaceDE w:val="0"/>
        <w:spacing w:after="0"/>
        <w:rPr>
          <w:sz w:val="18"/>
          <w:szCs w:val="18"/>
          <w:lang w:val="el-GR" w:eastAsia="el-GR"/>
        </w:rPr>
      </w:pPr>
    </w:p>
    <w:p w:rsidR="00002523" w:rsidRDefault="00002523" w:rsidP="00002523">
      <w:pPr>
        <w:spacing w:after="0"/>
        <w:ind w:left="567" w:right="360"/>
        <w:rPr>
          <w:b/>
          <w:sz w:val="21"/>
          <w:szCs w:val="21"/>
          <w:lang w:val="el-GR" w:eastAsia="el-GR"/>
        </w:rPr>
      </w:pPr>
    </w:p>
    <w:p w:rsidR="00002523" w:rsidRDefault="00002523" w:rsidP="00002523">
      <w:pPr>
        <w:pStyle w:val="normalwithoutspacing"/>
        <w:rPr>
          <w:b/>
          <w:sz w:val="18"/>
          <w:szCs w:val="18"/>
          <w:lang w:eastAsia="el-GR"/>
        </w:rPr>
      </w:pPr>
    </w:p>
    <w:p w:rsidR="00EA6542" w:rsidRDefault="00002523" w:rsidP="00002523">
      <w:pPr>
        <w:widowControl w:val="0"/>
        <w:suppressAutoHyphens w:val="0"/>
        <w:spacing w:before="120"/>
        <w:jc w:val="center"/>
        <w:rPr>
          <w:lang w:val="el-GR"/>
        </w:rPr>
      </w:pPr>
      <w:r w:rsidRPr="003E6482">
        <w:rPr>
          <w:lang w:val="el-GR"/>
        </w:rPr>
        <w:t>(Ονοματεπώνυμο και σφραγίδα)</w:t>
      </w:r>
    </w:p>
    <w:p w:rsidR="00B5741A" w:rsidRPr="00B858EB" w:rsidRDefault="00B5741A" w:rsidP="00B5741A">
      <w:pPr>
        <w:pStyle w:val="a6"/>
        <w:tabs>
          <w:tab w:val="left" w:pos="284"/>
        </w:tabs>
        <w:rPr>
          <w:lang w:val="el-GR"/>
        </w:rPr>
      </w:pPr>
      <w:r>
        <w:rPr>
          <w:rStyle w:val="a4"/>
          <w:rFonts w:ascii="Liberation Serif" w:hAnsi="Liberation Serif"/>
        </w:rPr>
        <w:lastRenderedPageBreak/>
        <w:footnoteRef/>
      </w:r>
      <w:r>
        <w:rPr>
          <w:lang w:val="el-GR"/>
        </w:rPr>
        <w:tab/>
        <w:t>Σε περίπτωση που η αναθέτουσα αρχή /αναθέτων φορέας είναι περισσότερες (οι) της (του) μίας (ενός) θα αναφέρεται το σύνολο αυτών</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Επαναλάβετε τα στοιχεία των αρμοδίων, όνομα και επώνυμο, όσες φορές χρειάζεται.</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5741A" w:rsidRPr="00B858EB" w:rsidRDefault="00B5741A" w:rsidP="00B5741A">
      <w:pPr>
        <w:pStyle w:val="a6"/>
        <w:tabs>
          <w:tab w:val="left" w:pos="284"/>
        </w:tabs>
        <w:rPr>
          <w:lang w:val="el-GR"/>
        </w:rPr>
      </w:pPr>
      <w:r>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5741A" w:rsidRPr="00B858EB" w:rsidRDefault="00B5741A" w:rsidP="00B5741A">
      <w:pPr>
        <w:pStyle w:val="a6"/>
        <w:tabs>
          <w:tab w:val="left" w:pos="284"/>
        </w:tabs>
        <w:rPr>
          <w:lang w:val="el-GR"/>
        </w:rPr>
      </w:pPr>
      <w:r>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5741A" w:rsidRPr="00B858EB" w:rsidRDefault="00B5741A" w:rsidP="00B5741A">
      <w:pPr>
        <w:pStyle w:val="a6"/>
        <w:tabs>
          <w:tab w:val="left" w:pos="284"/>
        </w:tabs>
        <w:rPr>
          <w:lang w:val="el-GR"/>
        </w:rPr>
      </w:pPr>
      <w:r>
        <w:rPr>
          <w:rStyle w:val="DeltaViewInsertion"/>
        </w:rPr>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p w:rsidR="00B5741A" w:rsidRPr="00B858EB" w:rsidRDefault="00B5741A" w:rsidP="00B5741A">
      <w:pPr>
        <w:pStyle w:val="a6"/>
        <w:tabs>
          <w:tab w:val="left" w:pos="284"/>
        </w:tabs>
        <w:spacing w:after="200"/>
        <w:rPr>
          <w:lang w:val="el-GR"/>
        </w:rPr>
      </w:pPr>
      <w:r>
        <w:rPr>
          <w:rStyle w:val="a4"/>
          <w:rFonts w:ascii="Liberation Serif" w:hAnsi="Liberation Serif"/>
        </w:rPr>
        <w:footnoteRef/>
      </w:r>
      <w:r>
        <w:rPr>
          <w:lang w:val="el-GR"/>
        </w:rPr>
        <w:tab/>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p w:rsidR="00B5741A" w:rsidRPr="00B858EB" w:rsidRDefault="00B5741A" w:rsidP="00B5741A">
      <w:pPr>
        <w:pStyle w:val="a6"/>
        <w:tabs>
          <w:tab w:val="left" w:pos="284"/>
        </w:tabs>
        <w:spacing w:after="200"/>
        <w:rPr>
          <w:lang w:val="el-GR"/>
        </w:rPr>
      </w:pPr>
      <w:r>
        <w:rPr>
          <w:rStyle w:val="a4"/>
          <w:rFonts w:ascii="Liberation Serif" w:hAnsi="Liberation Serif"/>
        </w:rPr>
        <w:footnoteRef/>
      </w:r>
      <w:r>
        <w:rPr>
          <w:lang w:val="el-GR"/>
        </w:rPr>
        <w:tab/>
        <w:t>Τα δικαιολογητικά και η κατάταξη, εάν υπάρχουν, αναφέρονται στην πιστοποίηση.</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Ειδικότερα ως μέλος ένωσης ή κοινοπραξίας ή άλλου παρόμοιου καθεστώτος.</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 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Σύμφωνα με άρθρο 73 παρ. 1 (β). Στον Κανονισμό ΕΕΕΣ (Κανονισμός ΕΕ 2016/7) αναφέρεται ως “διαφθορά”.</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Pr>
          <w:lang w:val="el-GR"/>
        </w:rPr>
        <w:t>.</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p w:rsidR="00B5741A" w:rsidRPr="00B858EB" w:rsidRDefault="00B5741A" w:rsidP="00B5741A">
      <w:pPr>
        <w:pStyle w:val="a6"/>
        <w:tabs>
          <w:tab w:val="left" w:pos="284"/>
        </w:tabs>
        <w:rPr>
          <w:lang w:val="el-GR"/>
        </w:rPr>
      </w:pPr>
      <w:r>
        <w:rPr>
          <w:rStyle w:val="a4"/>
          <w:rFonts w:ascii="Liberation Serif" w:hAnsi="Liberation Serif"/>
        </w:rPr>
        <w:lastRenderedPageBreak/>
        <w:foot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rPr>
          <w:lang w:val="el-GR"/>
        </w:rPr>
      </w:pPr>
      <w:r>
        <w:rPr>
          <w:rStyle w:val="a4"/>
          <w:rFonts w:ascii="Times New Roman" w:hAnsi="Times New Roman"/>
        </w:rPr>
        <w:footnoteRef/>
      </w:r>
      <w:r>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η επεξήγηση πρέπει να καταδεικνύει την επάρκεια των μέτρων που λήφθηκαν.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Η απόδοση όρων είναι σύμφωνη με την παρ. 4 του άρθρου 73 που διαφοροποιείται από τον Κανονισμό ΕΕΕΣ (Κανονισμός ΕΕ 2016/7)</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Άρθρο 73 παρ. 5.</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Εφόσον στα έγγραφα της σύμβασης γίνεται αναφορά σε συγκεκριμένη διάταξη, να συμπληρωθεί ανάλογα το ΤΕΥΔ πχ άρθρο 68 παρ. 2 ν. 3863/2010.</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Όπως προσδιορίζεται στο άρθρο 24 ή στα έγγραφα της σύμβασης</w:t>
      </w:r>
      <w:r>
        <w:rPr>
          <w:b/>
          <w:i/>
          <w:lang w:val="el-GR"/>
        </w:rPr>
        <w:t>.</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r>
      <w:proofErr w:type="spellStart"/>
      <w:r>
        <w:rPr>
          <w:lang w:val="el-GR"/>
        </w:rPr>
        <w:t>Πρβλ</w:t>
      </w:r>
      <w:proofErr w:type="spellEnd"/>
      <w:r>
        <w:rPr>
          <w:lang w:val="el-GR"/>
        </w:rPr>
        <w:t xml:space="preserve"> άρθρο 48.</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 xml:space="preserve"> Η απόδοση όρων είναι σύμφωνη με την </w:t>
      </w:r>
      <w:proofErr w:type="spellStart"/>
      <w:r>
        <w:rPr>
          <w:lang w:val="el-GR"/>
        </w:rPr>
        <w:t>περιπτ</w:t>
      </w:r>
      <w:proofErr w:type="spellEnd"/>
      <w:r>
        <w:rPr>
          <w:lang w:val="el-GR"/>
        </w:rPr>
        <w:t xml:space="preserve">. </w:t>
      </w:r>
      <w:proofErr w:type="spellStart"/>
      <w:r>
        <w:rPr>
          <w:lang w:val="el-GR"/>
        </w:rPr>
        <w:t>στ</w:t>
      </w:r>
      <w:proofErr w:type="spellEnd"/>
      <w:r>
        <w:rPr>
          <w:lang w:val="el-GR"/>
        </w:rPr>
        <w:t xml:space="preserve"> παρ. 4 του άρθρου 73 που διαφοροποιείται από τον Κανονισμό ΕΕΕΣ (Κανονισμός ΕΕ 2016/7)</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 xml:space="preserve"> Μόνον εφόσον επιτρέπεται </w:t>
      </w:r>
      <w:r>
        <w:rPr>
          <w:b/>
          <w:i/>
          <w:lang w:val="el-GR"/>
        </w:rPr>
        <w:t xml:space="preserve">στη σχετική διακήρυξη ή στην πρόσκληση ή στα έγγραφα της σύμβασης που αναφέρονται στην διακήρυξη. </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 xml:space="preserve">Οι αναθέτουσες αρχές μπορούν να </w:t>
      </w:r>
      <w:r>
        <w:rPr>
          <w:b/>
          <w:lang w:val="el-GR"/>
        </w:rPr>
        <w:t>ζητούν</w:t>
      </w:r>
      <w:r>
        <w:rPr>
          <w:lang w:val="el-GR"/>
        </w:rPr>
        <w:t xml:space="preserve"> έως πέντε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πέντε έτη.</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 xml:space="preserve">Οι αναθέτουσες αρχές μπορούν να </w:t>
      </w:r>
      <w:r>
        <w:rPr>
          <w:b/>
          <w:lang w:val="el-GR"/>
        </w:rPr>
        <w:t>ζητούν</w:t>
      </w:r>
      <w:r>
        <w:rPr>
          <w:lang w:val="el-GR"/>
        </w:rPr>
        <w:t xml:space="preserve"> έως τρία έτη και να </w:t>
      </w:r>
      <w:r>
        <w:rPr>
          <w:b/>
          <w:lang w:val="el-GR"/>
        </w:rPr>
        <w:t>επιτρέπουν</w:t>
      </w:r>
      <w:r>
        <w:rPr>
          <w:lang w:val="el-GR"/>
        </w:rPr>
        <w:t xml:space="preserve"> την τεκμηρίωση εμπειρίας που </w:t>
      </w:r>
      <w:r>
        <w:rPr>
          <w:b/>
          <w:lang w:val="el-GR"/>
        </w:rPr>
        <w:t>υπερβαίνει</w:t>
      </w:r>
      <w:r>
        <w:rPr>
          <w:lang w:val="el-GR"/>
        </w:rPr>
        <w:t xml:space="preserve"> τα τρία έτη.</w:t>
      </w:r>
    </w:p>
    <w:p w:rsidR="00B5741A" w:rsidRPr="00B858EB" w:rsidRDefault="00B5741A" w:rsidP="00B5741A">
      <w:pPr>
        <w:pStyle w:val="a6"/>
        <w:tabs>
          <w:tab w:val="left" w:pos="284"/>
        </w:tabs>
        <w:spacing w:after="0"/>
        <w:rPr>
          <w:lang w:val="el-GR"/>
        </w:rPr>
      </w:pPr>
      <w:r>
        <w:rPr>
          <w:rStyle w:val="a4"/>
          <w:rFonts w:ascii="Liberation Serif" w:hAnsi="Liberation Serif"/>
        </w:rPr>
        <w:lastRenderedPageBreak/>
        <w:footnoteRef/>
      </w:r>
      <w:r>
        <w:rPr>
          <w:lang w:val="el-GR"/>
        </w:rPr>
        <w:tab/>
        <w:t xml:space="preserve">Πρέπει να απαριθμούνται </w:t>
      </w:r>
      <w:r>
        <w:rPr>
          <w:b/>
          <w:u w:val="single"/>
          <w:lang w:val="el-GR"/>
        </w:rPr>
        <w:t>όλοι</w:t>
      </w:r>
      <w:r>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 xml:space="preserve">Επισημαίνεται ότι εάν ο οικονομικός φορέας </w:t>
      </w:r>
      <w:r>
        <w:rPr>
          <w:b/>
          <w:u w:val="single"/>
          <w:lang w:val="el-GR"/>
        </w:rPr>
        <w:t>έχει</w:t>
      </w:r>
      <w:r>
        <w:rPr>
          <w:lang w:val="el-GR"/>
        </w:rPr>
        <w:t xml:space="preserve"> αποφασίσει να αναθέσει τμήμα της σύμβασης σε τρίτους υπό μορφή υπεργολαβίας </w:t>
      </w:r>
      <w:r>
        <w:rPr>
          <w:b/>
          <w:u w:val="single"/>
          <w:lang w:val="el-GR"/>
        </w:rPr>
        <w:t>και</w:t>
      </w:r>
      <w:r>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Διευκρινίστε ποιο στοιχείο αφορά η απάντηση.</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spacing w:after="0"/>
        <w:rPr>
          <w:lang w:val="el-GR"/>
        </w:rPr>
      </w:pPr>
      <w:r>
        <w:rPr>
          <w:rStyle w:val="a4"/>
          <w:rFonts w:ascii="Liberation Serif" w:hAnsi="Liberation Serif"/>
        </w:rPr>
        <w:footnoteRef/>
      </w:r>
      <w:r>
        <w:rPr>
          <w:lang w:val="el-GR"/>
        </w:rPr>
        <w:tab/>
        <w:t>Επαναλάβετε όσες φορές χρειάζεται.</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r>
      <w:proofErr w:type="spellStart"/>
      <w:r>
        <w:rPr>
          <w:lang w:val="el-GR"/>
        </w:rPr>
        <w:t>Πρβλ</w:t>
      </w:r>
      <w:proofErr w:type="spellEnd"/>
      <w:r>
        <w:rPr>
          <w:lang w:val="el-GR"/>
        </w:rPr>
        <w:t xml:space="preserve"> και άρθρο 1 ν. 4250/2014</w:t>
      </w:r>
    </w:p>
    <w:p w:rsidR="00B5741A" w:rsidRPr="00B858EB" w:rsidRDefault="00B5741A" w:rsidP="00B5741A">
      <w:pPr>
        <w:pStyle w:val="a6"/>
        <w:tabs>
          <w:tab w:val="left" w:pos="284"/>
        </w:tabs>
        <w:rPr>
          <w:lang w:val="el-GR"/>
        </w:rPr>
      </w:pPr>
      <w:r>
        <w:rPr>
          <w:rStyle w:val="a4"/>
          <w:rFonts w:ascii="Liberation Serif" w:hAnsi="Liberation Serif"/>
        </w:rPr>
        <w:footnoteRef/>
      </w:r>
      <w:r>
        <w:rPr>
          <w:lang w:val="el-GR"/>
        </w:rPr>
        <w:tab/>
        <w:t>Υπό την προϋπόθεση ότι ο οικονομικός φορέας έχει παράσχει τις απαραίτητες πληροφορίες (</w:t>
      </w:r>
      <w:r>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lang w:val="el-GR"/>
        </w:rPr>
        <w:t xml:space="preserve"> </w:t>
      </w:r>
    </w:p>
    <w:p w:rsidR="00B5741A" w:rsidRDefault="00B5741A" w:rsidP="00B5741A">
      <w:pPr>
        <w:pStyle w:val="a6"/>
        <w:tabs>
          <w:tab w:val="left" w:pos="284"/>
        </w:tabs>
        <w:rPr>
          <w:lang w:val="el-GR"/>
        </w:rPr>
      </w:pPr>
    </w:p>
    <w:p w:rsidR="00B5741A" w:rsidRDefault="00B5741A" w:rsidP="00B5741A">
      <w:pPr>
        <w:pStyle w:val="a6"/>
        <w:tabs>
          <w:tab w:val="left" w:pos="284"/>
        </w:tabs>
        <w:rPr>
          <w:lang w:val="el-GR"/>
        </w:rPr>
      </w:pPr>
    </w:p>
    <w:p w:rsidR="00B5741A" w:rsidRPr="00B5741A" w:rsidRDefault="00B5741A" w:rsidP="00002523">
      <w:pPr>
        <w:widowControl w:val="0"/>
        <w:suppressAutoHyphens w:val="0"/>
        <w:spacing w:before="120"/>
        <w:jc w:val="center"/>
        <w:rPr>
          <w:lang w:val="el-GR"/>
        </w:rPr>
      </w:pPr>
      <w:bookmarkStart w:id="2" w:name="_GoBack"/>
      <w:bookmarkEnd w:id="2"/>
    </w:p>
    <w:sectPr w:rsidR="00B5741A" w:rsidRPr="00B5741A">
      <w:footerReference w:type="default" r:id="rId6"/>
      <w:pgSz w:w="11906" w:h="16838"/>
      <w:pgMar w:top="1686" w:right="1134" w:bottom="1134" w:left="1134" w:header="1134"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AA6" w:rsidRDefault="00AD4AA6">
      <w:pPr>
        <w:spacing w:after="0"/>
      </w:pPr>
      <w:r>
        <w:separator/>
      </w:r>
    </w:p>
  </w:endnote>
  <w:endnote w:type="continuationSeparator" w:id="0">
    <w:p w:rsidR="00AD4AA6" w:rsidRDefault="00AD4A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A1"/>
    <w:family w:val="swiss"/>
    <w:pitch w:val="variable"/>
    <w:sig w:usb0="00000687" w:usb1="00000000" w:usb2="00000000" w:usb3="00000000" w:csb0="0000009F" w:csb1="00000000"/>
  </w:font>
  <w:font w:name="Liberation Serif">
    <w:altName w:val="Times New Roman"/>
    <w:charset w:val="A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EB4" w:rsidRDefault="00AD4AA6">
    <w:pPr>
      <w:pStyle w:val="a3"/>
      <w:spacing w:after="0"/>
      <w:jc w:val="center"/>
      <w:rPr>
        <w:sz w:val="12"/>
        <w:szCs w:val="12"/>
        <w:lang w:val="el-GR"/>
      </w:rPr>
    </w:pPr>
  </w:p>
  <w:p w:rsidR="00036EB4" w:rsidRDefault="00002523">
    <w:pPr>
      <w:pStyle w:val="a3"/>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5741A">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AA6" w:rsidRDefault="00AD4AA6">
      <w:pPr>
        <w:spacing w:after="0"/>
      </w:pPr>
      <w:r>
        <w:separator/>
      </w:r>
    </w:p>
  </w:footnote>
  <w:footnote w:type="continuationSeparator" w:id="0">
    <w:p w:rsidR="00AD4AA6" w:rsidRDefault="00AD4AA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23"/>
    <w:rsid w:val="00002523"/>
    <w:rsid w:val="007A4FEC"/>
    <w:rsid w:val="00AD4AA6"/>
    <w:rsid w:val="00B5741A"/>
    <w:rsid w:val="00EA6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73D67-1124-4391-9BDF-155DDF9C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52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0025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002523"/>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002523"/>
    <w:rPr>
      <w:rFonts w:ascii="Arial" w:eastAsia="Times New Roman" w:hAnsi="Arial" w:cs="Arial"/>
      <w:b/>
      <w:color w:val="002060"/>
      <w:sz w:val="24"/>
      <w:lang w:val="en-GB" w:eastAsia="zh-CN"/>
    </w:rPr>
  </w:style>
  <w:style w:type="paragraph" w:styleId="a3">
    <w:name w:val="footer"/>
    <w:basedOn w:val="a"/>
    <w:link w:val="Char"/>
    <w:rsid w:val="00002523"/>
    <w:pPr>
      <w:spacing w:after="100"/>
    </w:pPr>
    <w:rPr>
      <w:rFonts w:eastAsia="MS Mincho"/>
      <w:lang w:val="en-US" w:eastAsia="ja-JP"/>
    </w:rPr>
  </w:style>
  <w:style w:type="character" w:customStyle="1" w:styleId="Char">
    <w:name w:val="Υποσέλιδο Char"/>
    <w:basedOn w:val="a0"/>
    <w:link w:val="a3"/>
    <w:rsid w:val="00002523"/>
    <w:rPr>
      <w:rFonts w:ascii="Calibri" w:eastAsia="MS Mincho" w:hAnsi="Calibri" w:cs="Calibri"/>
      <w:szCs w:val="24"/>
      <w:lang w:val="en-US" w:eastAsia="ja-JP"/>
    </w:rPr>
  </w:style>
  <w:style w:type="paragraph" w:customStyle="1" w:styleId="normalwithoutspacing">
    <w:name w:val="normal_without_spacing"/>
    <w:basedOn w:val="a"/>
    <w:rsid w:val="00002523"/>
    <w:pPr>
      <w:spacing w:after="60"/>
    </w:pPr>
    <w:rPr>
      <w:lang w:val="el-GR"/>
    </w:rPr>
  </w:style>
  <w:style w:type="character" w:customStyle="1" w:styleId="1Char">
    <w:name w:val="Επικεφαλίδα 1 Char"/>
    <w:basedOn w:val="a0"/>
    <w:link w:val="1"/>
    <w:uiPriority w:val="9"/>
    <w:rsid w:val="00002523"/>
    <w:rPr>
      <w:rFonts w:asciiTheme="majorHAnsi" w:eastAsiaTheme="majorEastAsia" w:hAnsiTheme="majorHAnsi" w:cstheme="majorBidi"/>
      <w:color w:val="2E74B5" w:themeColor="accent1" w:themeShade="BF"/>
      <w:sz w:val="32"/>
      <w:szCs w:val="32"/>
      <w:lang w:val="en-GB" w:eastAsia="zh-CN"/>
    </w:rPr>
  </w:style>
  <w:style w:type="character" w:customStyle="1" w:styleId="a4">
    <w:name w:val="Χαρακτήρες σημείωσης τέλους"/>
    <w:rsid w:val="00B5741A"/>
    <w:rPr>
      <w:vertAlign w:val="superscript"/>
    </w:rPr>
  </w:style>
  <w:style w:type="character" w:customStyle="1" w:styleId="a5">
    <w:name w:val="Σύμβολο υποσημείωσης"/>
    <w:rsid w:val="00B5741A"/>
    <w:rPr>
      <w:vertAlign w:val="superscript"/>
    </w:rPr>
  </w:style>
  <w:style w:type="character" w:customStyle="1" w:styleId="DeltaViewInsertion">
    <w:name w:val="DeltaView Insertion"/>
    <w:rsid w:val="00B5741A"/>
    <w:rPr>
      <w:b/>
      <w:i/>
      <w:spacing w:val="0"/>
      <w:lang w:val="el-GR"/>
    </w:rPr>
  </w:style>
  <w:style w:type="paragraph" w:styleId="a6">
    <w:name w:val="endnote text"/>
    <w:basedOn w:val="a"/>
    <w:link w:val="Char0"/>
    <w:rsid w:val="00B5741A"/>
    <w:rPr>
      <w:sz w:val="20"/>
      <w:szCs w:val="20"/>
    </w:rPr>
  </w:style>
  <w:style w:type="character" w:customStyle="1" w:styleId="Char0">
    <w:name w:val="Κείμενο σημείωσης τέλους Char"/>
    <w:basedOn w:val="a0"/>
    <w:link w:val="a6"/>
    <w:rsid w:val="00B5741A"/>
    <w:rPr>
      <w:rFonts w:ascii="Calibri" w:eastAsia="Times New Roman" w:hAnsi="Calibri" w:cs="Calibri"/>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8860</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Support</dc:creator>
  <cp:keywords/>
  <dc:description/>
  <cp:lastModifiedBy>IT Support</cp:lastModifiedBy>
  <cp:revision>2</cp:revision>
  <dcterms:created xsi:type="dcterms:W3CDTF">2021-08-10T11:49:00Z</dcterms:created>
  <dcterms:modified xsi:type="dcterms:W3CDTF">2021-08-10T11:50:00Z</dcterms:modified>
</cp:coreProperties>
</file>